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tblpY="-310"/>
        <w:tblW w:w="4966" w:type="pct"/>
        <w:tblLook w:val="04A0" w:firstRow="1" w:lastRow="0" w:firstColumn="1" w:lastColumn="0" w:noHBand="0" w:noVBand="1"/>
      </w:tblPr>
      <w:tblGrid>
        <w:gridCol w:w="5300"/>
        <w:gridCol w:w="5417"/>
      </w:tblGrid>
      <w:tr w:rsidR="0002128E" w:rsidRPr="001D4AF8" w:rsidTr="0002128E">
        <w:trPr>
          <w:trHeight w:val="242"/>
        </w:trPr>
        <w:tc>
          <w:tcPr>
            <w:tcW w:w="5000" w:type="pct"/>
            <w:gridSpan w:val="2"/>
          </w:tcPr>
          <w:p w:rsidR="0002128E" w:rsidRPr="0002128E" w:rsidRDefault="0002128E" w:rsidP="0002128E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>Circle the affirmative pictures and mark the negatives with a cross. Color the affirmative pictures.</w:t>
            </w:r>
          </w:p>
        </w:tc>
      </w:tr>
      <w:tr w:rsidR="0002128E" w:rsidRPr="001D4AF8" w:rsidTr="0002128E">
        <w:trPr>
          <w:trHeight w:val="242"/>
        </w:trPr>
        <w:tc>
          <w:tcPr>
            <w:tcW w:w="5000" w:type="pct"/>
            <w:gridSpan w:val="2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 xml:space="preserve">She can dance. She can’t cut. </w:t>
            </w:r>
          </w:p>
        </w:tc>
      </w:tr>
      <w:tr w:rsidR="0002128E" w:rsidRPr="001D4AF8" w:rsidTr="0002128E">
        <w:trPr>
          <w:trHeight w:val="2305"/>
        </w:trPr>
        <w:tc>
          <w:tcPr>
            <w:tcW w:w="2473" w:type="pct"/>
          </w:tcPr>
          <w:p w:rsidR="0002128E" w:rsidRPr="0002128E" w:rsidRDefault="0002128E" w:rsidP="00C30DB8">
            <w:pPr>
              <w:jc w:val="center"/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74869744" wp14:editId="6A6607EF">
                  <wp:extent cx="3054985" cy="16383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6"/>
                          <a:stretch/>
                        </pic:blipFill>
                        <pic:spPr bwMode="auto">
                          <a:xfrm>
                            <a:off x="0" y="0"/>
                            <a:ext cx="305498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674B3BF5" wp14:editId="4C480191">
                  <wp:extent cx="2857500" cy="1590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7-valentine_kids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69" cy="1597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8E" w:rsidRPr="001D4AF8" w:rsidTr="0002128E">
        <w:trPr>
          <w:trHeight w:val="242"/>
        </w:trPr>
        <w:tc>
          <w:tcPr>
            <w:tcW w:w="5000" w:type="pct"/>
            <w:gridSpan w:val="2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 xml:space="preserve">He can’t swim. He can ride a motorcycle. </w:t>
            </w:r>
          </w:p>
        </w:tc>
      </w:tr>
      <w:tr w:rsidR="0002128E" w:rsidRPr="001D4AF8" w:rsidTr="0002128E">
        <w:trPr>
          <w:trHeight w:val="2143"/>
        </w:trPr>
        <w:tc>
          <w:tcPr>
            <w:tcW w:w="2473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0170F02C" wp14:editId="64BA68F3">
                  <wp:extent cx="3209290" cy="148844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29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5E592F7B" wp14:editId="1E7F7AFF">
                  <wp:extent cx="3276600" cy="1523798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T688M7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825" cy="15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8E" w:rsidRPr="001D4AF8" w:rsidTr="0002128E">
        <w:trPr>
          <w:trHeight w:val="242"/>
        </w:trPr>
        <w:tc>
          <w:tcPr>
            <w:tcW w:w="5000" w:type="pct"/>
            <w:gridSpan w:val="2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 xml:space="preserve">They can play soccer. They can’t swim. </w:t>
            </w:r>
          </w:p>
        </w:tc>
      </w:tr>
      <w:tr w:rsidR="0002128E" w:rsidRPr="001D4AF8" w:rsidTr="0002128E">
        <w:trPr>
          <w:trHeight w:val="2373"/>
        </w:trPr>
        <w:tc>
          <w:tcPr>
            <w:tcW w:w="2473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1B9E3F0A" wp14:editId="20E5112A">
                  <wp:extent cx="3228678" cy="1676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-Group-of-Kids-Playing-Soccer-in-the-School-Yard-Coloring-Pa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514" cy="169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0ED04A62" wp14:editId="67C24813">
                  <wp:extent cx="3286125" cy="16478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wimming_pool_coloring_page_460_0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4923" r="4130" b="3693"/>
                          <a:stretch/>
                        </pic:blipFill>
                        <pic:spPr bwMode="auto">
                          <a:xfrm>
                            <a:off x="0" y="0"/>
                            <a:ext cx="3355507" cy="168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8E" w:rsidRPr="001D4AF8" w:rsidTr="0002128E">
        <w:trPr>
          <w:trHeight w:val="228"/>
        </w:trPr>
        <w:tc>
          <w:tcPr>
            <w:tcW w:w="5000" w:type="pct"/>
            <w:gridSpan w:val="2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 xml:space="preserve">They can study. They can’t jump. </w:t>
            </w:r>
          </w:p>
        </w:tc>
      </w:tr>
      <w:tr w:rsidR="0002128E" w:rsidRPr="001D4AF8" w:rsidTr="0002128E">
        <w:trPr>
          <w:trHeight w:val="228"/>
        </w:trPr>
        <w:tc>
          <w:tcPr>
            <w:tcW w:w="2473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2353DCC4" wp14:editId="63491934">
                  <wp:extent cx="3111239" cy="156949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i4K9jMie.gif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22"/>
                          <a:stretch/>
                        </pic:blipFill>
                        <pic:spPr bwMode="auto">
                          <a:xfrm>
                            <a:off x="0" y="0"/>
                            <a:ext cx="3148748" cy="158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0658BD1B" wp14:editId="155B66CA">
                  <wp:extent cx="3302758" cy="16236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ud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019" cy="164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8E" w:rsidRPr="001D4AF8" w:rsidTr="0002128E">
        <w:trPr>
          <w:trHeight w:val="228"/>
        </w:trPr>
        <w:tc>
          <w:tcPr>
            <w:tcW w:w="5000" w:type="pct"/>
            <w:gridSpan w:val="2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</w:rPr>
              <w:t xml:space="preserve">He can’t sing. She can sing. </w:t>
            </w:r>
          </w:p>
        </w:tc>
      </w:tr>
      <w:tr w:rsidR="0002128E" w:rsidRPr="001D4AF8" w:rsidTr="0002128E">
        <w:trPr>
          <w:trHeight w:val="2416"/>
        </w:trPr>
        <w:tc>
          <w:tcPr>
            <w:tcW w:w="2473" w:type="pct"/>
          </w:tcPr>
          <w:p w:rsidR="0002128E" w:rsidRPr="0002128E" w:rsidRDefault="0002128E" w:rsidP="00C30DB8">
            <w:pPr>
              <w:jc w:val="center"/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6E830CC6" wp14:editId="348E0D61">
                  <wp:extent cx="2468245" cy="1443355"/>
                  <wp:effectExtent l="0" t="0" r="8255" b="4445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5"/>
                          <a:stretch/>
                        </pic:blipFill>
                        <pic:spPr bwMode="auto">
                          <a:xfrm>
                            <a:off x="0" y="0"/>
                            <a:ext cx="2468245" cy="144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pct"/>
          </w:tcPr>
          <w:p w:rsidR="0002128E" w:rsidRPr="0002128E" w:rsidRDefault="0002128E" w:rsidP="00C30DB8">
            <w:pPr>
              <w:rPr>
                <w:rFonts w:ascii="KG Second Chances Solid" w:hAnsi="KG Second Chances Solid"/>
              </w:rPr>
            </w:pPr>
            <w:r w:rsidRPr="0002128E">
              <w:rPr>
                <w:rFonts w:ascii="KG Second Chances Solid" w:hAnsi="KG Second Chances Solid"/>
                <w:noProof/>
                <w:lang w:val="es-MX" w:eastAsia="es-MX"/>
              </w:rPr>
              <w:drawing>
                <wp:inline distT="0" distB="0" distL="0" distR="0" wp14:anchorId="48A4090C" wp14:editId="57FBDDC9">
                  <wp:extent cx="3247323" cy="147395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u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057" cy="149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228" w:rsidRDefault="00C26228" w:rsidP="0002128E">
      <w:bookmarkStart w:id="0" w:name="_GoBack"/>
      <w:bookmarkEnd w:id="0"/>
    </w:p>
    <w:sectPr w:rsidR="00C26228" w:rsidSect="000212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cond Chances Solid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0AC0"/>
    <w:multiLevelType w:val="hybridMultilevel"/>
    <w:tmpl w:val="24F89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1tDQ1MDUxNTA3NjFQ0lEKTi0uzszPAykwrAUAVDjksSwAAAA="/>
  </w:docVars>
  <w:rsids>
    <w:rsidRoot w:val="0002128E"/>
    <w:rsid w:val="0002128E"/>
    <w:rsid w:val="00C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D83B-8C38-4B91-A85F-46610E94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Paulina Galindo Bojorquez</dc:creator>
  <cp:keywords/>
  <dc:description/>
  <cp:lastModifiedBy>Karen Paulina Galindo Bojorquez</cp:lastModifiedBy>
  <cp:revision>1</cp:revision>
  <cp:lastPrinted>2016-02-22T07:28:00Z</cp:lastPrinted>
  <dcterms:created xsi:type="dcterms:W3CDTF">2016-02-22T07:25:00Z</dcterms:created>
  <dcterms:modified xsi:type="dcterms:W3CDTF">2016-02-22T07:29:00Z</dcterms:modified>
</cp:coreProperties>
</file>